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2016/52 vom 27. April 2018</w:t>
      </w:r>
    </w:p>
    <w:p>
      <w:r>
        <w:t>Sg Versicherungsgericht, 2018-04-27, DE</w:t>
      </w:r>
    </w:p>
    <w:p>
      <w:r>
        <w:rPr>
          <w:b/>
        </w:rPr>
        <w:t xml:space="preserve">Quelle: </w:t>
      </w:r>
      <w:r>
        <w:t>https://mcp.opencaselaw.ch/entscheid/sg_publikationen_IV 2016_52</w:t>
      </w:r>
    </w:p>
    <w:p>
      <w:r>
        <w:t>FR: SG_VERSICHERUNGSGERICHT IV 2016/52 du 27 avril 2018</w:t>
      </w:r>
    </w:p>
    <w:p>
      <w:r>
        <w:t>IT: SG_VERSICHERUNGSGERICHT IV 2016/52 del 27 aprile 2018</w:t>
      </w:r>
    </w:p>
    <w:p>
      <w:pPr>
        <w:pStyle w:val="Heading2"/>
      </w:pPr>
      <w:r>
        <w:t>Regeste</w:t>
      </w:r>
    </w:p>
    <w:p>
      <w:r>
        <w:t>Art. 23 BVG. Art. 26 BVG. Bindungswirkung zwischen Invalidenversicherung und beruflicher Vorsorge. Die Interpretation der massgebenden Bestimmungen des BVG spricht eindeutig gegen eine Bindungswirkung der Entscheide einer IV-Stelle für eine Vorsorgeeinrichtung (Entscheid des Versicherungsgerichts des Kantons St. Gallen vom 27. April 2018, IV 2016/52). Aufgehoben durch Urteil des Bundesgerichts 9C_431/2018.</w:t>
      </w:r>
    </w:p>
    <w:p>
      <w:pPr>
        <w:pStyle w:val="Heading2"/>
      </w:pPr>
      <w:r>
        <w:t>Erwägungen</w:t>
      </w:r>
    </w:p>
    <w:p>
      <w:r>
        <w:rPr>
          <w:b/>
        </w:rPr>
        <w:t>E. 1</w:t>
      </w:r>
    </w:p>
    <w:p>
      <w:r>
        <w:t>1.1  Zur Erhebung einer Beschwerde gegen eine Verfügung einer IV-Stelle ist laut dem Art. 59 ATSG berechtigt, wer durch die angefochtene Verfügung berührt ist und ein schutzwürdiges Interesse an deren Aufhebung oder Änderung hat (Art. 59 Abs. 1 ATSG).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etwa UELI KIESER, ATSG-Kommentar, 3. Aufl. 2015, Art. 59 N 9 f., mit Hinweisen). 1.2  Entgegen einer anders lautenden Praxis des Bundesgerichtes (vgl. etwa BGE 132 V 1 oder das Urteil 9C_66/2015 vom 9. Juni 2015, E. 1.3) geht das Versicherungsgericht des Kantons St. Gallen davon aus, dass keine gesetzliche Grundlage für eine Bindung der beruflichen Vorsorgeeinrichtung an eine Verfügung der IV-Stelle existiert. Zwar heisst es in den Art. 23 f. BVG, dass der Invaliditätsgrad „im Sinne der Invalidenversicherung“ massgebend sei, und im Art. 26 BVG, dass sich der Rentenbeginn nach den Bestimmungen des IVG richte, aber damit lässt sich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Ihm ist nämlich bewusst gewesen, dass die Invaliditätsdefinition (und damit der Invaliditätsgrad)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Sachverhaltswürdigung angestrebt (die eine Bindungswirkung erfordert hätte), sondern nur die Sachverhalts-abklärung erleichtern wollen. Diese Erleichterung wird bereits erreicht, wenn die berufliche Vorsorgeeinrichtung die Akten der Invalidenversicherung einsehen kann. Dafür braucht es keine Bindungswirkung. Schon vor zehn Jahren ist deshalb in der Lehre die Ansicht vertreten worden, die angebliche positiv-rechtliche Verankerung der Bindungswirkung könne „offensichtlich“ nicht aus den Art. 23 ff. BVG abgeleitet werden (UELI KIESER, Bindungswirkung der Invaliditätsschätzungen,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1.3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wird, denn diese Pflicht bezieht sich augenscheinlich auf die intersystemische Leistungskoordination (Art. 64 ff. ATSG); sie enthält keinen Hinweis auf eine Bindungswirkung zwischen den Sozialversicherungsträgern. Im Übrigen erklärt das BVG das ATSG als nicht anwendbar. Wenn es aber selbst zwischen zwei dem ATSG unterstellten Sozialversicherungsträgern keine Bindungswirkung (mehr)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Sozialversicherungszweig von Gesetzes wegen verpflichtet, auf die Invaliditätsschätzung eines anderen Rücksicht zu nehmen (vgl. dazu den Entscheid IV 2006/68 des St. Galler Versicherungsgerichtes vom 20. November 2007, E. 1h). 1.4  Wenn es allerdings eine Bindungswirkung gäbe, wie das Bundesgericht annimmt, dann müsste auch eine generelle Regel betreffend das verfahrensrechtliche Vorgehen der IV-Stellen und der beruflichen Vorsorgeeinrichtungen existieren. Augenscheinlich kann eine Vorsorgeeinrichtung nämlich nicht auf das Dispositiv einer (rechtsgestaltenden) Rentenverfügung einer IV-Stelle abstellen, denn dieses lautet auf einen bestimmten Frankenbetrag, der ab einem bestimmten Datum monatlich geschuldet ist. Nur in der Verfügungsbegründung kann eine Vorsorgeeinrichtung Angaben zum Invaliditätsgrad und zum Eintritt der relevanten Arbeitsunfähigkeit finden. Eine Verfügungsbegründung wird aber rechtsprechungsgemäss nie formell rechtskräftig und damit auch nie direkt verbindlich. Folglich kann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Das wäre verfahrensrechtlich nur in Form von entsprechenden Feststellungsverfügungen (vgl. Art. 49 Abs. 2 ATSG) möglich. An diesen Feststellungsverfügungen könnten nur die beruflichen Vorsorgeeinrichtungen und die beruflich vorsorgeversicherten Personen ein schützenswertes Interesse haben, da diese einen massgeblichen Einfluss auf die Invalidenleistungen der beruflichen Vorsorge hätten; im IV-Verfahren bestünde dagegen kein schützenswertes Interesse an solchen Feststellungen, da für die versicherte Person und die IV-Stelle natürlich nur das rechtsgestaltende Dispositiv der Verfügung betreffend die Leistungen der Invalidenversicherung massgebend ist. Die Existenz einer Bindungswirkung würde also zwingend eine Pflicht der Invalidenversicherung voraussetzen, Feststellungsverfügungen über den Invaliditätsgrad und über den Beginn der relevanten Arbeitsunfähigkeit ausschliesslich zuhanden der möglicherweise leistungspflichtigen beruflichen Vorsorgeeinrichtungen und der beruflich vorsorgeversicherten Personen zu erlassen. Diese Feststellungsverfügungen würden es den beruflichen Vorsorgeeinrichtungen und den beruflich vorsorgeversicherten Personen erlauben, in einem IV-Verfahren respektive in einem IV-Beschwerdeverfahren über Sachverhaltswürdigungen zu streiten, die nur für das Verhältnis zwischen der beruflichen Vorsorgeeinrichtung und der beruflich vorsorgeversicherten Person massgebend wären. Hätte der Gesetzgeber dies tatsächlich gewollt, hätte er eine generelle Pflicht der IV-Stellen zum Erlass solcher Feststellungsverfügungen vorgesehen. Nur solche Feststellungsverfügungen könnten es nämlich der versicherten Person und der beruflichen Vorsorgeeinrichtung ermöglichen, im IV-Beschwerdeverfahren über jene Tatbestandselemente zu streiten, die dann später im Verfahren betreffend die berufsvorsorgerechtlichen Leistungen massgebend wären. Im BVG-Verfahren wäre es dagegen nicht mehr zulässig, über jene Tatbestandselemente zu streiten. Worin der Vorteil einer solchen verfahrensrechtlich verworrenen Lösung liegen sollte, ist nicht ersichtlich. Obwohl das Bundesgericht die Beibehaltung respektive die Aufgabe seiner Praxis zur angeblichen Bindungswirkung wiederholt geprüft hat, hat es sich bislang – soweit überblickbar – noch nicht eingehend mit den verfahrensrechtlichen Konsequenzen seiner Rechtsprechung auseinandergesetzt. Es handelt sich dabei um neue Gesichtspunkte und damit um eine bessere Erkenntnis des geltenden Rechtes, womit die Voraussetzungen für eine Rechtsprechungsänderung (vgl. BGE 137 V 282 E. 4.2 S. 291 f. mit zahlreichen Hinweisen) erfüllt sind. Das Versicherungsgericht des Kantons St. Gallen hat deshalb in seinem (formell rechtskräftigen) Urteil IV 2015/154 vom 23. August 2017 die Existenz der vom Bundesgericht postulierten Bindungswirkung zwischen der Invalidenversicherung und der beruflichen Vorsorgeeinrichtung verneint.</w:t>
      </w:r>
    </w:p>
    <w:p>
      <w:r>
        <w:rPr>
          <w:b/>
        </w:rPr>
        <w:t>E. 2</w:t>
      </w:r>
    </w:p>
    <w:p>
      <w:r>
        <w:t>Die Beschwerdeführerin hat die Gerichtskosten von Fr. 600.-- zu bezahlen; diese sind durch den von ihr geleisteten Kostenvorschuss von Fr. 600.-- gedeckt.</w:t>
      </w:r>
    </w:p>
    <w:p>
      <w:r>
        <w:rPr>
          <w:b/>
        </w:rPr>
        <w:t>E. 3</w:t>
      </w:r>
    </w:p>
    <w:p>
      <w:r>
        <w:t>Die Beschwerdeführerin hat den Beigeladenen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